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B4F62" w:rsidRDefault="009E0E54" w:rsidP="00D7092D">
      <w:pPr>
        <w:pStyle w:val="Ttulo1"/>
        <w:rPr>
          <w:lang w:val="es-ES"/>
        </w:rPr>
      </w:pPr>
      <w:r>
        <w:rPr>
          <w:lang w:val="es-ES"/>
        </w:rPr>
        <w:t>Aumento de</w:t>
      </w:r>
      <w:r w:rsidR="00CB4F62">
        <w:rPr>
          <w:lang w:val="es-ES"/>
        </w:rPr>
        <w:t xml:space="preserve"> retención sobre </w:t>
      </w:r>
      <w:r>
        <w:rPr>
          <w:lang w:val="es-ES"/>
        </w:rPr>
        <w:t xml:space="preserve">venta de </w:t>
      </w:r>
      <w:r w:rsidR="00CB4F62">
        <w:rPr>
          <w:lang w:val="es-ES"/>
        </w:rPr>
        <w:t xml:space="preserve">bienes raíces aplica </w:t>
      </w:r>
      <w:r w:rsidR="00D7092D">
        <w:rPr>
          <w:lang w:val="es-ES"/>
        </w:rPr>
        <w:t xml:space="preserve">principalmente </w:t>
      </w:r>
      <w:r w:rsidR="00CB4F62">
        <w:rPr>
          <w:lang w:val="es-ES"/>
        </w:rPr>
        <w:t>a vendedores que sean personas jurídicas</w:t>
      </w:r>
    </w:p>
    <w:p w:rsidR="00CB4F62" w:rsidRDefault="00D7092D">
      <w:pPr>
        <w:rPr>
          <w:lang w:val="es-ES"/>
        </w:rPr>
      </w:pPr>
      <w:r>
        <w:rPr>
          <w:noProof/>
          <w:lang w:val="es-ES"/>
        </w:rPr>
        <mc:AlternateContent>
          <mc:Choice Requires="wps">
            <w:drawing>
              <wp:anchor distT="0" distB="0" distL="114300" distR="114300" simplePos="0" relativeHeight="251659264" behindDoc="0" locked="0" layoutInCell="1" allowOverlap="1">
                <wp:simplePos x="0" y="0"/>
                <wp:positionH relativeFrom="column">
                  <wp:posOffset>4594</wp:posOffset>
                </wp:positionH>
                <wp:positionV relativeFrom="paragraph">
                  <wp:posOffset>36942</wp:posOffset>
                </wp:positionV>
                <wp:extent cx="5374342" cy="995082"/>
                <wp:effectExtent l="0" t="0" r="10795" b="8255"/>
                <wp:wrapNone/>
                <wp:docPr id="960233676" name="Cuadro de texto 1"/>
                <wp:cNvGraphicFramePr/>
                <a:graphic xmlns:a="http://schemas.openxmlformats.org/drawingml/2006/main">
                  <a:graphicData uri="http://schemas.microsoft.com/office/word/2010/wordprocessingShape">
                    <wps:wsp>
                      <wps:cNvSpPr txBox="1"/>
                      <wps:spPr>
                        <a:xfrm>
                          <a:off x="0" y="0"/>
                          <a:ext cx="5374342" cy="995082"/>
                        </a:xfrm>
                        <a:prstGeom prst="rect">
                          <a:avLst/>
                        </a:prstGeom>
                        <a:solidFill>
                          <a:schemeClr val="lt1"/>
                        </a:solidFill>
                        <a:ln w="6350">
                          <a:solidFill>
                            <a:prstClr val="black"/>
                          </a:solidFill>
                        </a:ln>
                      </wps:spPr>
                      <wps:txbx>
                        <w:txbxContent>
                          <w:p w:rsidR="00D7092D" w:rsidRPr="00D7092D" w:rsidRDefault="00D7092D">
                            <w:pPr>
                              <w:rPr>
                                <w:lang w:val="es-ES"/>
                              </w:rPr>
                            </w:pPr>
                            <w:r>
                              <w:rPr>
                                <w:lang w:val="es-ES"/>
                              </w:rPr>
                              <w:t>El Decreto 572 de mayo 28 de 2025 modificó el articulo 1.2.4.9.1 del DUT 1625 de 2016 y elevó la retención a título de renta que se practicaría en la venta de un bien raíz. Sin embargo, dicha norma no aplicará en los casos en que sea una persona natural la que esté vendiendo sus bienes raíces que sean activos fijos pues para ese tipo de casos solo aplica la norma especial del artículo 398 del 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35pt;margin-top:2.9pt;width:423.2pt;height:78.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" fillcolor="white [3201]" strokeweight=".5pt">
                <v:textbox>
                  <w:txbxContent>
                    <w:p w:rsidR="00D7092D" w:rsidRPr="00D7092D" w:rsidRDefault="00D7092D">
                      <w:pPr>
                        <w:rPr>
                          <w:lang w:val="es-ES"/>
                        </w:rPr>
                      </w:pPr>
                      <w:r>
                        <w:rPr>
                          <w:lang w:val="es-ES"/>
                        </w:rPr>
                        <w:t>El Decreto 572 de mayo 28 de 2025 modificó el articulo 1.2.4.9.1 del DUT 1625 de 2016 y elevó la retención a título de renta que se practicaría en la venta de un bien raíz. Sin embargo, dicha norma no aplicará en los casos en que sea una persona natural la que esté vendiendo sus bienes raíces que sean activos fijos pues para ese tipo de casos solo aplica la norma especial del artículo 398 del ET</w:t>
                      </w:r>
                    </w:p>
                  </w:txbxContent>
                </v:textbox>
              </v:shape>
            </w:pict>
          </mc:Fallback>
        </mc:AlternateContent>
      </w:r>
    </w:p>
    <w:p w:rsidR="009E0E54" w:rsidRDefault="009E0E54">
      <w:pPr>
        <w:rPr>
          <w:lang w:val="es-ES"/>
        </w:rPr>
      </w:pPr>
    </w:p>
    <w:p w:rsidR="00D7092D" w:rsidRDefault="00D7092D">
      <w:pPr>
        <w:rPr>
          <w:lang w:val="es-ES"/>
        </w:rPr>
      </w:pPr>
    </w:p>
    <w:p w:rsidR="00D7092D" w:rsidRDefault="00D7092D">
      <w:pPr>
        <w:rPr>
          <w:lang w:val="es-ES"/>
        </w:rPr>
      </w:pPr>
    </w:p>
    <w:p w:rsidR="00D7092D" w:rsidRDefault="00D7092D">
      <w:pPr>
        <w:rPr>
          <w:lang w:val="es-ES"/>
        </w:rPr>
      </w:pPr>
    </w:p>
    <w:p w:rsidR="00D7092D" w:rsidRDefault="00D7092D">
      <w:pPr>
        <w:rPr>
          <w:lang w:val="es-ES"/>
        </w:rPr>
      </w:pPr>
    </w:p>
    <w:p w:rsidR="00CB4F62" w:rsidRDefault="00CB4F62">
      <w:pPr>
        <w:rPr>
          <w:lang w:val="es-ES"/>
        </w:rPr>
      </w:pPr>
      <w:r>
        <w:rPr>
          <w:lang w:val="es-ES"/>
        </w:rPr>
        <w:t xml:space="preserve">El pasado 28 de mayo de 2025, </w:t>
      </w:r>
      <w:hyperlink r:id="rId4" w:history="1">
        <w:r w:rsidRPr="00F65993">
          <w:rPr>
            <w:rStyle w:val="Hipervnculo"/>
            <w:lang w:val="es-ES"/>
          </w:rPr>
          <w:t>entr</w:t>
        </w:r>
        <w:r w:rsidRPr="00F65993">
          <w:rPr>
            <w:rStyle w:val="Hipervnculo"/>
            <w:lang w:val="es-ES"/>
          </w:rPr>
          <w:t>e</w:t>
        </w:r>
        <w:r w:rsidRPr="00F65993">
          <w:rPr>
            <w:rStyle w:val="Hipervnculo"/>
            <w:lang w:val="es-ES"/>
          </w:rPr>
          <w:t xml:space="preserve"> los múltiples y controvertidos cambios introducidos con el Decreto 572 de mayo de 2025</w:t>
        </w:r>
      </w:hyperlink>
      <w:r>
        <w:rPr>
          <w:lang w:val="es-ES"/>
        </w:rPr>
        <w:t>, se</w:t>
      </w:r>
      <w:r w:rsidR="00447CEE">
        <w:rPr>
          <w:lang w:val="es-ES"/>
        </w:rPr>
        <w:t xml:space="preserve"> incluyó la modificación al </w:t>
      </w:r>
      <w:hyperlink r:id="rId5" w:anchor="1.2.4.9.1" w:history="1">
        <w:r w:rsidR="00447CEE" w:rsidRPr="00813EE4">
          <w:rPr>
            <w:rStyle w:val="Hipervnculo"/>
            <w:lang w:val="es-ES"/>
          </w:rPr>
          <w:t>inciso 3 del artículo 1.2.4.9.1 del DUT 1625 de 2016</w:t>
        </w:r>
      </w:hyperlink>
      <w:r w:rsidR="00447CEE">
        <w:rPr>
          <w:lang w:val="es-ES"/>
        </w:rPr>
        <w:t xml:space="preserve"> en el cual </w:t>
      </w:r>
      <w:r w:rsidR="00F65993">
        <w:rPr>
          <w:lang w:val="es-ES"/>
        </w:rPr>
        <w:t>se regula de forma especial una retención</w:t>
      </w:r>
      <w:r w:rsidR="00B0263F">
        <w:rPr>
          <w:lang w:val="es-ES"/>
        </w:rPr>
        <w:t xml:space="preserve"> en la fuente</w:t>
      </w:r>
      <w:r w:rsidR="00F65993">
        <w:rPr>
          <w:lang w:val="es-ES"/>
        </w:rPr>
        <w:t xml:space="preserve"> a título de renta sobre la venta de bienes raíces</w:t>
      </w:r>
    </w:p>
    <w:p w:rsidR="00B0263F" w:rsidRDefault="00B0263F">
      <w:pPr>
        <w:rPr>
          <w:lang w:val="es-ES"/>
        </w:rPr>
      </w:pPr>
    </w:p>
    <w:p w:rsidR="00B0263F" w:rsidRDefault="00B0263F">
      <w:pPr>
        <w:rPr>
          <w:lang w:val="es-ES"/>
        </w:rPr>
      </w:pPr>
      <w:r>
        <w:rPr>
          <w:lang w:val="es-ES"/>
        </w:rPr>
        <w:t>Sin embargo, muchos lectores de la norma no han tenido presente que la retención que allí se establece solo afecta a las personas jurídicas del régimen ordinario que vendan sus bienes raíces</w:t>
      </w:r>
      <w:r w:rsidR="00D7092D">
        <w:rPr>
          <w:lang w:val="es-ES"/>
        </w:rPr>
        <w:t xml:space="preserve"> (que sean inventarios para la venta, o activos fijos)</w:t>
      </w:r>
      <w:r>
        <w:rPr>
          <w:lang w:val="es-ES"/>
        </w:rPr>
        <w:t>, pero no afecta a las personas naturales del régimen ordinario cuando vendan sus bienes raíces</w:t>
      </w:r>
      <w:r w:rsidR="00D7092D">
        <w:rPr>
          <w:lang w:val="es-ES"/>
        </w:rPr>
        <w:t xml:space="preserve"> que sean activos fijos</w:t>
      </w:r>
      <w:r>
        <w:rPr>
          <w:lang w:val="es-ES"/>
        </w:rPr>
        <w:t xml:space="preserve"> (Nota</w:t>
      </w:r>
      <w:r w:rsidR="00AE7238">
        <w:rPr>
          <w:lang w:val="es-ES"/>
        </w:rPr>
        <w:t>: si el vendedor es persona natural o jurídica pero del régimen simple, o si es persona jurídica del régimen especial, o si es persona jurídica no contribuyente del impuesto de renta, en tales casos nunca se les practicarán retenciones en la fuente en la venta de sus bienes raíces)</w:t>
      </w:r>
    </w:p>
    <w:p w:rsidR="0020374D" w:rsidRDefault="0020374D">
      <w:pPr>
        <w:rPr>
          <w:lang w:val="es-ES"/>
        </w:rPr>
      </w:pPr>
    </w:p>
    <w:p w:rsidR="0020374D" w:rsidRDefault="0020374D">
      <w:pPr>
        <w:rPr>
          <w:lang w:val="es-ES"/>
        </w:rPr>
      </w:pPr>
      <w:r>
        <w:rPr>
          <w:lang w:val="es-ES"/>
        </w:rPr>
        <w:t>En efecto, en el texto de la norma antes mencionada se lee lo siguiente (presentamos incluso las dos versiones de la norma, es decir, antes y después de haber sido modificada con el Decret</w:t>
      </w:r>
      <w:r w:rsidR="00813EE4">
        <w:rPr>
          <w:lang w:val="es-ES"/>
        </w:rPr>
        <w:t>o 572 de mayo de 2025; citamos solo los tres primeros incisos</w:t>
      </w:r>
      <w:r w:rsidR="00093064">
        <w:rPr>
          <w:lang w:val="es-ES"/>
        </w:rPr>
        <w:t>; los subrayados son nuestros</w:t>
      </w:r>
      <w:r w:rsidR="00813EE4">
        <w:rPr>
          <w:lang w:val="es-ES"/>
        </w:rPr>
        <w:t>)</w:t>
      </w:r>
    </w:p>
    <w:p w:rsidR="00813EE4" w:rsidRDefault="00813EE4">
      <w:pPr>
        <w:rPr>
          <w:lang w:val="es-ES"/>
        </w:rPr>
      </w:pPr>
    </w:p>
    <w:tbl>
      <w:tblPr>
        <w:tblStyle w:val="Tablaconcuadrcula"/>
        <w:tblW w:w="0" w:type="auto"/>
        <w:tblLook w:val="04A0" w:firstRow="1" w:lastRow="0" w:firstColumn="1" w:lastColumn="0" w:noHBand="0" w:noVBand="1"/>
      </w:tblPr>
      <w:tblGrid>
        <w:gridCol w:w="4414"/>
        <w:gridCol w:w="4414"/>
      </w:tblGrid>
      <w:tr w:rsidR="00813EE4" w:rsidTr="00813EE4">
        <w:tc>
          <w:tcPr>
            <w:tcW w:w="4414" w:type="dxa"/>
          </w:tcPr>
          <w:p w:rsidR="00813EE4" w:rsidRDefault="00813EE4">
            <w:pPr>
              <w:rPr>
                <w:lang w:val="es-ES"/>
              </w:rPr>
            </w:pPr>
            <w:r>
              <w:rPr>
                <w:lang w:val="es-ES"/>
              </w:rPr>
              <w:t>Versión anterior de la norma</w:t>
            </w:r>
          </w:p>
        </w:tc>
        <w:tc>
          <w:tcPr>
            <w:tcW w:w="4414" w:type="dxa"/>
          </w:tcPr>
          <w:p w:rsidR="00813EE4" w:rsidRDefault="00093064">
            <w:pPr>
              <w:rPr>
                <w:lang w:val="es-ES"/>
              </w:rPr>
            </w:pPr>
            <w:r>
              <w:rPr>
                <w:lang w:val="es-ES"/>
              </w:rPr>
              <w:t>Nueva versión de la norma</w:t>
            </w:r>
          </w:p>
        </w:tc>
      </w:tr>
      <w:tr w:rsidR="00093064" w:rsidTr="00813EE4">
        <w:tc>
          <w:tcPr>
            <w:tcW w:w="4414" w:type="dxa"/>
          </w:tcPr>
          <w:p w:rsidR="00093064" w:rsidRPr="00813EE4" w:rsidRDefault="00093064" w:rsidP="00093064">
            <w:pPr>
              <w:jc w:val="both"/>
              <w:rPr>
                <w:i/>
                <w:iCs/>
              </w:rPr>
            </w:pPr>
            <w:bookmarkStart w:id="0" w:name="1.2.4.9.1"/>
            <w:r w:rsidRPr="00093064">
              <w:rPr>
                <w:i/>
                <w:iCs/>
              </w:rPr>
              <w:t>ARTÍCULO 1.2.4.9.1. RETENCIÓN EN LA FUENTE POR OTROS INGRESOS.</w:t>
            </w:r>
            <w:bookmarkEnd w:id="0"/>
            <w:r w:rsidRPr="00093064">
              <w:t> </w:t>
            </w:r>
            <w:r w:rsidRPr="00813EE4">
              <w:rPr>
                <w:i/>
                <w:iCs/>
              </w:rPr>
              <w:t>A partir del 27 de junio de 1985, todos los pagos o abonos en cuenta, susceptibles de constituir ingreso para quien los recibe, que efectúen las personas jurídicas, sociedades de hecho, las demás entidades y personas naturales que tengan la calidad de agentes retenedores por conceptos que al 27 de junio de 1985 (D. O. 37030) no estuvieren sometidos a retención en la fuente, deberán someterse a una retención del dos punto cinco por ciento (2.5%) sobre el valor total del pago o abono en cuenta.</w:t>
            </w:r>
          </w:p>
          <w:p w:rsidR="00093064" w:rsidRDefault="00093064" w:rsidP="00093064">
            <w:pPr>
              <w:jc w:val="both"/>
              <w:rPr>
                <w:i/>
                <w:iCs/>
              </w:rPr>
            </w:pPr>
          </w:p>
          <w:p w:rsidR="00093064" w:rsidRDefault="00093064" w:rsidP="00093064">
            <w:pPr>
              <w:jc w:val="both"/>
              <w:rPr>
                <w:i/>
                <w:iCs/>
              </w:rPr>
            </w:pPr>
          </w:p>
          <w:p w:rsidR="00093064" w:rsidRPr="00093064" w:rsidRDefault="00093064" w:rsidP="00093064">
            <w:pPr>
              <w:jc w:val="both"/>
              <w:rPr>
                <w:i/>
                <w:iCs/>
              </w:rPr>
            </w:pPr>
          </w:p>
          <w:p w:rsidR="00093064" w:rsidRPr="00813EE4" w:rsidRDefault="00093064" w:rsidP="00093064">
            <w:pPr>
              <w:jc w:val="both"/>
              <w:rPr>
                <w:i/>
                <w:iCs/>
              </w:rPr>
            </w:pPr>
            <w:r w:rsidRPr="00813EE4">
              <w:rPr>
                <w:i/>
                <w:iCs/>
              </w:rPr>
              <w:t>Cuando el pago o abono en cuenta corresponda a contratos de construcción o urbanización, la retención prevista en este artículo será del dos por ciento (2.0%). Cuando el pago o abono en cuenta corresponda a la adquisición de vehículos la retención prevista en este artículo será del uno por ciento (1.0%).</w:t>
            </w:r>
          </w:p>
          <w:p w:rsidR="00093064" w:rsidRDefault="00093064" w:rsidP="00093064">
            <w:pPr>
              <w:jc w:val="both"/>
              <w:rPr>
                <w:i/>
                <w:iCs/>
              </w:rPr>
            </w:pPr>
          </w:p>
          <w:p w:rsidR="00093064" w:rsidRPr="00093064" w:rsidRDefault="00093064" w:rsidP="00093064">
            <w:pPr>
              <w:jc w:val="both"/>
              <w:rPr>
                <w:i/>
                <w:iCs/>
              </w:rPr>
            </w:pPr>
            <w:r w:rsidRPr="00093064">
              <w:rPr>
                <w:i/>
                <w:iCs/>
              </w:rPr>
              <w:t xml:space="preserve">Cuando el pago o abono en cuenta corresponda a la adquisición de bienes raíces cuya destinación y uso sea vivienda de habitación, la retención prevista en este artículo será del uno por ciento (1%) por las primeras </w:t>
            </w:r>
            <w:r w:rsidRPr="00093064">
              <w:rPr>
                <w:b/>
                <w:bCs/>
                <w:i/>
                <w:iCs/>
                <w:u w:val="single"/>
              </w:rPr>
              <w:t>veinte mil (20.000) UVT</w:t>
            </w:r>
            <w:r w:rsidRPr="00093064">
              <w:rPr>
                <w:i/>
                <w:iCs/>
              </w:rPr>
              <w:t>. Para el exceso de dicho monto, la tarifa de retención será del dos punto cinco por ciento (2.5%). Cuando el pago o abono en cuenta corresponda a la adquisición de bienes raíces cuya destinación y uso sean distintos a vivienda de habitación, la retención prevista en este artículo será del dos punto cinco por ciento (2.5%).</w:t>
            </w:r>
          </w:p>
          <w:p w:rsidR="00093064" w:rsidRPr="00813EE4" w:rsidRDefault="00093064" w:rsidP="00093064">
            <w:pPr>
              <w:jc w:val="both"/>
              <w:rPr>
                <w:i/>
                <w:iCs/>
              </w:rPr>
            </w:pPr>
          </w:p>
        </w:tc>
        <w:tc>
          <w:tcPr>
            <w:tcW w:w="4414" w:type="dxa"/>
          </w:tcPr>
          <w:p w:rsidR="00093064" w:rsidRPr="00813EE4" w:rsidRDefault="00093064" w:rsidP="00093064">
            <w:pPr>
              <w:jc w:val="both"/>
              <w:rPr>
                <w:i/>
                <w:iCs/>
              </w:rPr>
            </w:pPr>
            <w:r w:rsidRPr="00093064">
              <w:rPr>
                <w:i/>
                <w:iCs/>
              </w:rPr>
              <w:lastRenderedPageBreak/>
              <w:t>ARTÍCULO 1.2.4.9.1. RETENCIÓN EN LA FUENTE POR OTROS INGRESOS</w:t>
            </w:r>
            <w:r>
              <w:rPr>
                <w:i/>
                <w:iCs/>
              </w:rPr>
              <w:t xml:space="preserve"> </w:t>
            </w:r>
            <w:r w:rsidRPr="00093064">
              <w:rPr>
                <w:i/>
                <w:iCs/>
                <w:color w:val="FF0000"/>
              </w:rPr>
              <w:t>(modificado con artículo 6 del Decreto 572 de mayo de 2025</w:t>
            </w:r>
            <w:r>
              <w:rPr>
                <w:i/>
                <w:iCs/>
              </w:rPr>
              <w:t>)</w:t>
            </w:r>
            <w:r w:rsidRPr="00093064">
              <w:rPr>
                <w:i/>
                <w:iCs/>
              </w:rPr>
              <w:t>.</w:t>
            </w:r>
            <w:r w:rsidRPr="00093064">
              <w:t> </w:t>
            </w:r>
            <w:r w:rsidRPr="00813EE4">
              <w:rPr>
                <w:i/>
                <w:iCs/>
              </w:rPr>
              <w:t xml:space="preserve">A partir del 27 de junio de 1985, todos los pagos o abonos en cuenta, susceptibles de constituir ingreso para quien los recibe, que efectúen las personas jurídicas, sociedades de hecho, las demás entidades y personas naturales que tengan la calidad de agentes retenedores por conceptos que al 27 de junio de 1985 (D. O. 37030) no estuvieren sometidos a retención en la fuente, deberán someterse a una retención del dos punto cinco por ciento </w:t>
            </w:r>
            <w:r w:rsidRPr="00813EE4">
              <w:rPr>
                <w:i/>
                <w:iCs/>
              </w:rPr>
              <w:lastRenderedPageBreak/>
              <w:t>(2.5%) sobre el valor total del pago o abono en cuenta.</w:t>
            </w:r>
          </w:p>
          <w:p w:rsidR="00093064" w:rsidRPr="00093064" w:rsidRDefault="00093064" w:rsidP="00093064">
            <w:pPr>
              <w:jc w:val="both"/>
              <w:rPr>
                <w:i/>
                <w:iCs/>
              </w:rPr>
            </w:pPr>
          </w:p>
          <w:p w:rsidR="00093064" w:rsidRPr="00813EE4" w:rsidRDefault="00093064" w:rsidP="00093064">
            <w:pPr>
              <w:jc w:val="both"/>
              <w:rPr>
                <w:i/>
                <w:iCs/>
              </w:rPr>
            </w:pPr>
            <w:r w:rsidRPr="00813EE4">
              <w:rPr>
                <w:i/>
                <w:iCs/>
              </w:rPr>
              <w:t>Cuando el pago o abono en cuenta corresponda a contratos de construcción o urbanización, la retención prevista en este artículo será del dos por ciento (2.0%). Cuando el pago o abono en cuenta corresponda a la adquisición de vehículos la retención prevista en este artículo será del uno por ciento (1.0%).</w:t>
            </w:r>
          </w:p>
          <w:p w:rsidR="00093064" w:rsidRDefault="00093064" w:rsidP="00093064">
            <w:pPr>
              <w:jc w:val="both"/>
              <w:rPr>
                <w:i/>
                <w:iCs/>
              </w:rPr>
            </w:pPr>
          </w:p>
          <w:p w:rsidR="00093064" w:rsidRPr="00093064" w:rsidRDefault="00093064" w:rsidP="00093064">
            <w:pPr>
              <w:jc w:val="both"/>
              <w:rPr>
                <w:i/>
                <w:iCs/>
              </w:rPr>
            </w:pPr>
            <w:r w:rsidRPr="00093064">
              <w:rPr>
                <w:i/>
                <w:iCs/>
              </w:rPr>
              <w:t xml:space="preserve">Cuando el pago o abono en cuenta corresponda a la adquisición de bienes raíces cuya destinación y uso sea vivienda de habitación, la retención prevista en este artículo será del uno por ciento (1%) por las primeras </w:t>
            </w:r>
            <w:r w:rsidRPr="00093064">
              <w:rPr>
                <w:b/>
                <w:bCs/>
                <w:i/>
                <w:iCs/>
                <w:u w:val="single"/>
              </w:rPr>
              <w:t>diez mil (10.000) UVT</w:t>
            </w:r>
            <w:r w:rsidRPr="00093064">
              <w:rPr>
                <w:i/>
                <w:iCs/>
              </w:rPr>
              <w:t>. Para el exceso de dicho monto, la tarifa de retención será del dos punto cinco por ciento (2.5%). Cuando el pago o abono en cuenta corresponda a la adquisición de bienes raíces cuya destinación y uso sean distintos a vivienda de habitación, la retención prevista en este artículo será del dos punto cinco por ciento (2.5%).</w:t>
            </w:r>
          </w:p>
          <w:p w:rsidR="00093064" w:rsidRPr="00813EE4" w:rsidRDefault="00093064" w:rsidP="00093064">
            <w:pPr>
              <w:jc w:val="both"/>
              <w:rPr>
                <w:i/>
                <w:iCs/>
              </w:rPr>
            </w:pPr>
          </w:p>
        </w:tc>
      </w:tr>
    </w:tbl>
    <w:p w:rsidR="00813EE4" w:rsidRDefault="00813EE4">
      <w:pPr>
        <w:rPr>
          <w:lang w:val="es-ES"/>
        </w:rPr>
      </w:pPr>
    </w:p>
    <w:p w:rsidR="00B0263F" w:rsidRDefault="00093064">
      <w:pPr>
        <w:rPr>
          <w:lang w:val="es-ES"/>
        </w:rPr>
      </w:pPr>
      <w:r>
        <w:rPr>
          <w:lang w:val="es-ES"/>
        </w:rPr>
        <w:t xml:space="preserve">En relación con lo anterior es importante destacar que aunque dicha norma no aclara quién debe ser el vendedor para poder proceder a practicar la retención sobre venta de bienes raíces allí mencionada, sucede que en el Estatuto tributario existe desde hace tiempo la norma especial </w:t>
      </w:r>
      <w:proofErr w:type="spellStart"/>
      <w:r>
        <w:rPr>
          <w:lang w:val="es-ES"/>
        </w:rPr>
        <w:t>aun</w:t>
      </w:r>
      <w:proofErr w:type="spellEnd"/>
      <w:r>
        <w:rPr>
          <w:lang w:val="es-ES"/>
        </w:rPr>
        <w:t xml:space="preserve"> vigente y contenida en el </w:t>
      </w:r>
      <w:hyperlink r:id="rId6" w:anchor="398" w:history="1">
        <w:r w:rsidRPr="009E0E54">
          <w:rPr>
            <w:rStyle w:val="Hipervnculo"/>
            <w:lang w:val="es-ES"/>
          </w:rPr>
          <w:t>artículo 398 del ET</w:t>
        </w:r>
      </w:hyperlink>
      <w:r>
        <w:rPr>
          <w:lang w:val="es-ES"/>
        </w:rPr>
        <w:t xml:space="preserve">, la </w:t>
      </w:r>
      <w:proofErr w:type="spellStart"/>
      <w:r>
        <w:rPr>
          <w:lang w:val="es-ES"/>
        </w:rPr>
        <w:t>cua</w:t>
      </w:r>
      <w:proofErr w:type="spellEnd"/>
      <w:r>
        <w:rPr>
          <w:lang w:val="es-ES"/>
        </w:rPr>
        <w:t xml:space="preserve"> establece que si el vendedor </w:t>
      </w:r>
      <w:r w:rsidR="00D7092D">
        <w:rPr>
          <w:lang w:val="es-ES"/>
        </w:rPr>
        <w:t xml:space="preserve">es una persona natural, y si el bien </w:t>
      </w:r>
      <w:proofErr w:type="spellStart"/>
      <w:r w:rsidR="00D7092D">
        <w:rPr>
          <w:lang w:val="es-ES"/>
        </w:rPr>
        <w:t>raiz</w:t>
      </w:r>
      <w:proofErr w:type="spellEnd"/>
      <w:r w:rsidR="00D7092D">
        <w:rPr>
          <w:lang w:val="es-ES"/>
        </w:rPr>
        <w:t xml:space="preserve"> que vende es un activo fijo (sin importar cuál sea su destinación, es decir, si se usa para vivienda o para propósitos </w:t>
      </w:r>
      <w:proofErr w:type="spellStart"/>
      <w:r w:rsidR="00D7092D">
        <w:rPr>
          <w:lang w:val="es-ES"/>
        </w:rPr>
        <w:t>diferentees</w:t>
      </w:r>
      <w:proofErr w:type="spellEnd"/>
      <w:r w:rsidR="00D7092D">
        <w:rPr>
          <w:lang w:val="es-ES"/>
        </w:rPr>
        <w:t>),</w:t>
      </w:r>
      <w:r>
        <w:rPr>
          <w:lang w:val="es-ES"/>
        </w:rPr>
        <w:t xml:space="preserve"> en tal caso solo el notario es quién practicará la retención en la fuente a título de </w:t>
      </w:r>
      <w:proofErr w:type="spellStart"/>
      <w:r>
        <w:rPr>
          <w:lang w:val="es-ES"/>
        </w:rPr>
        <w:t>rentao</w:t>
      </w:r>
      <w:proofErr w:type="spellEnd"/>
      <w:r>
        <w:rPr>
          <w:lang w:val="es-ES"/>
        </w:rPr>
        <w:t xml:space="preserve"> de ganancia ocasional y solo aplicará el 1% sobre el monto total de la venta</w:t>
      </w:r>
    </w:p>
    <w:p w:rsidR="00093064" w:rsidRDefault="00093064">
      <w:pPr>
        <w:rPr>
          <w:lang w:val="es-ES"/>
        </w:rPr>
      </w:pPr>
    </w:p>
    <w:p w:rsidR="00D7092D" w:rsidRDefault="00D7092D">
      <w:pPr>
        <w:rPr>
          <w:lang w:val="es-ES"/>
        </w:rPr>
      </w:pPr>
      <w:r>
        <w:rPr>
          <w:lang w:val="es-ES"/>
        </w:rPr>
        <w:t>En la norma del artículo 398 del ET se lee:</w:t>
      </w:r>
    </w:p>
    <w:p w:rsidR="00D7092D" w:rsidRDefault="00D7092D">
      <w:pPr>
        <w:rPr>
          <w:lang w:val="es-ES"/>
        </w:rPr>
      </w:pPr>
    </w:p>
    <w:p w:rsidR="00D7092D" w:rsidRPr="00D7092D" w:rsidRDefault="00D7092D" w:rsidP="00D7092D">
      <w:pPr>
        <w:rPr>
          <w:i/>
          <w:iCs/>
          <w:color w:val="0070C0"/>
        </w:rPr>
      </w:pPr>
      <w:bookmarkStart w:id="1" w:name="398"/>
      <w:r>
        <w:rPr>
          <w:i/>
          <w:iCs/>
          <w:color w:val="0070C0"/>
          <w:u w:val="single"/>
        </w:rPr>
        <w:t>“</w:t>
      </w:r>
      <w:r w:rsidRPr="00D7092D">
        <w:rPr>
          <w:i/>
          <w:iCs/>
          <w:color w:val="0070C0"/>
          <w:u w:val="single"/>
        </w:rPr>
        <w:t>ARTICULO 398. RETENCIÓN EN LA ENAJENACIÓN DE ACTIVOS FIJOS DE PERSONAS NATURALES.</w:t>
      </w:r>
      <w:bookmarkEnd w:id="1"/>
      <w:r w:rsidRPr="00D7092D">
        <w:rPr>
          <w:i/>
          <w:iCs/>
          <w:color w:val="0070C0"/>
        </w:rPr>
        <w:t> Los ingresos que obtengan las personas naturales por concepto de la enajenación de activos fijos, estarán sometidos a una retención en la fuente equivalente al uno por ciento (1%) del valor de la enajenación.</w:t>
      </w:r>
    </w:p>
    <w:p w:rsidR="00D7092D" w:rsidRDefault="00D7092D" w:rsidP="00D7092D">
      <w:pPr>
        <w:rPr>
          <w:i/>
          <w:iCs/>
          <w:color w:val="0070C0"/>
        </w:rPr>
      </w:pPr>
    </w:p>
    <w:p w:rsidR="00D7092D" w:rsidRPr="00D7092D" w:rsidRDefault="00D7092D" w:rsidP="00D7092D">
      <w:pPr>
        <w:rPr>
          <w:i/>
          <w:iCs/>
          <w:color w:val="0070C0"/>
        </w:rPr>
      </w:pPr>
      <w:r w:rsidRPr="00D7092D">
        <w:rPr>
          <w:i/>
          <w:iCs/>
          <w:color w:val="0070C0"/>
        </w:rPr>
        <w:t>La retención aquí prevista deberá cancelarse previamente a la enajenación del bien, </w:t>
      </w:r>
      <w:r w:rsidRPr="00D7092D">
        <w:rPr>
          <w:i/>
          <w:iCs/>
          <w:color w:val="0070C0"/>
          <w:u w:val="single"/>
        </w:rPr>
        <w:t>ante el notario en el caso de bienes raíces</w:t>
      </w:r>
      <w:r w:rsidRPr="00D7092D">
        <w:rPr>
          <w:i/>
          <w:iCs/>
          <w:color w:val="0070C0"/>
        </w:rPr>
        <w:t>, ante las oficinas de Tránsito cuando se trate de vehículos automotores, o ante las entidades autorizadas para recaudar impuestos en los demás casos.</w:t>
      </w:r>
      <w:r>
        <w:rPr>
          <w:i/>
          <w:iCs/>
          <w:color w:val="0070C0"/>
        </w:rPr>
        <w:t>”</w:t>
      </w:r>
    </w:p>
    <w:p w:rsidR="00D7092D" w:rsidRPr="00D7092D" w:rsidRDefault="00D7092D"/>
    <w:p w:rsidR="00D7092D" w:rsidRDefault="00D7092D">
      <w:pPr>
        <w:rPr>
          <w:lang w:val="es-ES"/>
        </w:rPr>
      </w:pPr>
    </w:p>
    <w:p w:rsidR="009E0E54" w:rsidRDefault="00093064">
      <w:pPr>
        <w:rPr>
          <w:lang w:val="es-ES"/>
        </w:rPr>
      </w:pPr>
      <w:r>
        <w:rPr>
          <w:lang w:val="es-ES"/>
        </w:rPr>
        <w:t>Es por lo anterior que la norma del artículo 398 del ET, por ser norma especial, siempre prevalecerá sobre la norma contenida en el inciso tercero del artículo 1.2.4.9.1 del ET anteriormente citada</w:t>
      </w:r>
      <w:r w:rsidR="009E0E54">
        <w:rPr>
          <w:lang w:val="es-ES"/>
        </w:rPr>
        <w:t xml:space="preserve"> y es por ello que esta última norma solo se puede aplicar a los casos en que el vendedor sea una persona jurídica</w:t>
      </w:r>
      <w:r w:rsidR="00D7092D">
        <w:rPr>
          <w:lang w:val="es-ES"/>
        </w:rPr>
        <w:t xml:space="preserve"> del régimen ordinario, o en el caso de que una persona natural esté vendiendo un bien raíz que no sea su “activo fijo”, es decir, que esté vendiendo un “activo movible” (inventario para la venta, lo cual ocurre por ejemplo con una persona natural que sea constructora de bienes raíces nuevos, o una comerciante de bienes raíces usados que serán tratados como inventario para la venta)</w:t>
      </w:r>
    </w:p>
    <w:p w:rsidR="009E0E54" w:rsidRDefault="009E0E54">
      <w:pPr>
        <w:rPr>
          <w:lang w:val="es-ES"/>
        </w:rPr>
      </w:pPr>
    </w:p>
    <w:p w:rsidR="009E0E54" w:rsidRDefault="009E0E54">
      <w:pPr>
        <w:rPr>
          <w:lang w:val="es-ES"/>
        </w:rPr>
      </w:pPr>
      <w:r>
        <w:rPr>
          <w:lang w:val="es-ES"/>
        </w:rPr>
        <w:t xml:space="preserve">Lo anterior fue ratificado desde hace mucho tiempo con el </w:t>
      </w:r>
      <w:hyperlink r:id="rId7" w:history="1">
        <w:r w:rsidRPr="009E0E54">
          <w:rPr>
            <w:rStyle w:val="Hipervnculo"/>
            <w:lang w:val="es-ES"/>
          </w:rPr>
          <w:t>Concepto DIAN 456 de febrero 26 de 2019</w:t>
        </w:r>
      </w:hyperlink>
    </w:p>
    <w:p w:rsidR="00B0263F" w:rsidRDefault="00B0263F">
      <w:pPr>
        <w:pBdr>
          <w:bottom w:val="single" w:sz="12" w:space="1" w:color="auto"/>
        </w:pBdr>
        <w:rPr>
          <w:lang w:val="es-ES"/>
        </w:rPr>
      </w:pPr>
    </w:p>
    <w:p w:rsidR="00CC03A5" w:rsidRPr="00B0263F" w:rsidRDefault="00CC03A5">
      <w:pPr>
        <w:rPr>
          <w:lang w:val="es-ES"/>
        </w:rPr>
      </w:pPr>
    </w:p>
    <w:p w:rsidR="00CC03A5" w:rsidRDefault="00CC03A5" w:rsidP="00CC03A5">
      <w:hyperlink r:id="rId8" w:history="1">
        <w:r w:rsidRPr="00CC03A5">
          <w:rPr>
            <w:rStyle w:val="Hipervnculo"/>
          </w:rPr>
          <w:t>Retenciones y autorretenciones a título de renta fueron fuertemente ajustadas con el Decreto 572 de mayo de 2025</w:t>
        </w:r>
      </w:hyperlink>
    </w:p>
    <w:p w:rsidR="00CB4F62" w:rsidRPr="00CC03A5" w:rsidRDefault="00CB4F62"/>
    <w:sectPr w:rsidR="00CB4F62" w:rsidRPr="00CC03A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62"/>
    <w:rsid w:val="00093064"/>
    <w:rsid w:val="0020374D"/>
    <w:rsid w:val="00447CEE"/>
    <w:rsid w:val="00813EE4"/>
    <w:rsid w:val="009E0E54"/>
    <w:rsid w:val="00AE7238"/>
    <w:rsid w:val="00B0263F"/>
    <w:rsid w:val="00CB4F62"/>
    <w:rsid w:val="00CC03A5"/>
    <w:rsid w:val="00D7092D"/>
    <w:rsid w:val="00F659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9837E"/>
  <w15:chartTrackingRefBased/>
  <w15:docId w15:val="{A078640F-B291-F647-A158-8B0BF141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7092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65993"/>
    <w:rPr>
      <w:color w:val="0563C1" w:themeColor="hyperlink"/>
      <w:u w:val="single"/>
    </w:rPr>
  </w:style>
  <w:style w:type="character" w:styleId="Mencinsinresolver">
    <w:name w:val="Unresolved Mention"/>
    <w:basedOn w:val="Fuentedeprrafopredeter"/>
    <w:uiPriority w:val="99"/>
    <w:semiHidden/>
    <w:unhideWhenUsed/>
    <w:rsid w:val="00F65993"/>
    <w:rPr>
      <w:color w:val="605E5C"/>
      <w:shd w:val="clear" w:color="auto" w:fill="E1DFDD"/>
    </w:rPr>
  </w:style>
  <w:style w:type="table" w:styleId="Tablaconcuadrcula">
    <w:name w:val="Table Grid"/>
    <w:basedOn w:val="Tablanormal"/>
    <w:uiPriority w:val="39"/>
    <w:rsid w:val="0081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13EE4"/>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iaj">
    <w:name w:val="i_aj"/>
    <w:basedOn w:val="Fuentedeprrafopredeter"/>
    <w:rsid w:val="00813EE4"/>
  </w:style>
  <w:style w:type="character" w:customStyle="1" w:styleId="Ttulo1Car">
    <w:name w:val="Título 1 Car"/>
    <w:basedOn w:val="Fuentedeprrafopredeter"/>
    <w:link w:val="Ttulo1"/>
    <w:uiPriority w:val="9"/>
    <w:rsid w:val="00D7092D"/>
    <w:rPr>
      <w:rFonts w:asciiTheme="majorHAnsi" w:eastAsiaTheme="majorEastAsia" w:hAnsiTheme="majorHAnsi" w:cstheme="majorBidi"/>
      <w:color w:val="2F5496" w:themeColor="accent1" w:themeShade="BF"/>
      <w:sz w:val="32"/>
      <w:szCs w:val="32"/>
    </w:rPr>
  </w:style>
  <w:style w:type="character" w:styleId="Hipervnculovisitado">
    <w:name w:val="FollowedHyperlink"/>
    <w:basedOn w:val="Fuentedeprrafopredeter"/>
    <w:uiPriority w:val="99"/>
    <w:semiHidden/>
    <w:unhideWhenUsed/>
    <w:rsid w:val="00D709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3253">
      <w:bodyDiv w:val="1"/>
      <w:marLeft w:val="0"/>
      <w:marRight w:val="0"/>
      <w:marTop w:val="0"/>
      <w:marBottom w:val="0"/>
      <w:divBdr>
        <w:top w:val="none" w:sz="0" w:space="0" w:color="auto"/>
        <w:left w:val="none" w:sz="0" w:space="0" w:color="auto"/>
        <w:bottom w:val="none" w:sz="0" w:space="0" w:color="auto"/>
        <w:right w:val="none" w:sz="0" w:space="0" w:color="auto"/>
      </w:divBdr>
    </w:div>
    <w:div w:id="1079867240">
      <w:bodyDiv w:val="1"/>
      <w:marLeft w:val="0"/>
      <w:marRight w:val="0"/>
      <w:marTop w:val="0"/>
      <w:marBottom w:val="0"/>
      <w:divBdr>
        <w:top w:val="none" w:sz="0" w:space="0" w:color="auto"/>
        <w:left w:val="none" w:sz="0" w:space="0" w:color="auto"/>
        <w:bottom w:val="none" w:sz="0" w:space="0" w:color="auto"/>
        <w:right w:val="none" w:sz="0" w:space="0" w:color="auto"/>
      </w:divBdr>
    </w:div>
    <w:div w:id="147259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tualicese.com/retenciones-a-titulo-de-renta-2025-decreto-572-cambios-impacto/" TargetMode="External"/><Relationship Id="rId3" Type="http://schemas.openxmlformats.org/officeDocument/2006/relationships/webSettings" Target="webSettings.xml"/><Relationship Id="rId7" Type="http://schemas.openxmlformats.org/officeDocument/2006/relationships/hyperlink" Target="https://globbal.co/wp-content/uploads/2019/04/45-Con-DIAN-04860-2019-Retencion-venta-inmuebles.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ormograma.dian.gov.co/dian/compilacion/docs/estatuto_tributario.htm" TargetMode="External"/><Relationship Id="rId5" Type="http://schemas.openxmlformats.org/officeDocument/2006/relationships/hyperlink" Target="https://normograma.dian.gov.co/dian/compilacion/docs/decreto_1625_2016.htm" TargetMode="External"/><Relationship Id="rId10" Type="http://schemas.openxmlformats.org/officeDocument/2006/relationships/theme" Target="theme/theme1.xml"/><Relationship Id="rId4" Type="http://schemas.openxmlformats.org/officeDocument/2006/relationships/hyperlink" Target="https://actualicese.com/retenciones-a-titulo-de-renta-2025-decreto-572-cambios-impacto/"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1097</Words>
  <Characters>6038</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4</cp:revision>
  <dcterms:created xsi:type="dcterms:W3CDTF">2025-06-11T16:12:00Z</dcterms:created>
  <dcterms:modified xsi:type="dcterms:W3CDTF">2025-06-12T01:52:00Z</dcterms:modified>
</cp:coreProperties>
</file>